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p>
    <w:p>
      <w:pPr>
        <w:spacing w:after="80"/>
      </w:pPr>
    </w:p>
    <w:p>
      <w:pPr>
        <w:spacing w:after="80"/>
      </w:pPr>
    </w:p>
    <w:p>
      <w:pPr>
        <w:spacing w:after="80"/>
      </w:pPr>
    </w:p>
    <w:p>
      <w:pPr>
        <w:spacing w:after="80"/>
      </w:pPr>
    </w:p>
    <w:p>
      <w:pPr>
        <w:jc w:val="center"/>
      </w:pPr>
      <w:r>
        <w:drawing>
          <wp:inline distT="0" distB="0" distL="0" distR="0">
            <wp:extent cx="1714500" cy="17049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714500" cy="1704975"/>
                    </a:xfrm>
                    <a:prstGeom prst="rect">
                      <a:avLst/>
                    </a:prstGeom>
                  </pic:spPr>
                </pic:pic>
              </a:graphicData>
            </a:graphic>
          </wp:inline>
        </w:drawing>
      </w:r>
    </w:p>
    <w:p>
      <w:pPr>
        <w:spacing w:after="80"/>
      </w:pPr>
    </w:p>
    <w:p>
      <w:pPr>
        <w:spacing w:after="80"/>
      </w:pPr>
    </w:p>
    <w:p>
      <w:pPr>
        <w:spacing w:after="120"/>
        <w:jc w:val="center"/>
      </w:pPr>
      <w:r>
        <w:rPr>
          <w:rFonts w:ascii="Arial" w:cs="Arial" w:eastAsia="Arial" w:hAnsi="Arial"/>
          <w:b/>
          <w:bCs/>
          <w:color w:val="1A1A2E"/>
          <w:sz w:val="56"/>
          <w:szCs w:val="56"/>
        </w:rPr>
        <w:t xml:space="preserve">SEREEL TECHNOLOGIES</w:t>
      </w:r>
    </w:p>
    <w:p>
      <w:pPr>
        <w:spacing w:after="80"/>
        <w:jc w:val="center"/>
      </w:pPr>
      <w:r>
        <w:rPr>
          <w:rFonts w:ascii="Arial" w:cs="Arial" w:eastAsia="Arial" w:hAnsi="Arial"/>
          <w:color w:val="1B9E5C"/>
          <w:sz w:val="34"/>
          <w:szCs w:val="34"/>
        </w:rPr>
        <w:t xml:space="preserve">Corporate Operational Resume</w:t>
      </w:r>
    </w:p>
    <w:p>
      <w:pPr>
        <w:pBdr>
          <w:bottom w:val="single" w:color="1B9E5C" w:sz="6" w:space="1"/>
        </w:pBdr>
        <w:spacing w:before="100" w:after="200"/>
      </w:pPr>
    </w:p>
    <w:p>
      <w:pPr>
        <w:spacing w:after="80"/>
      </w:pPr>
    </w:p>
    <w:p>
      <w:pPr>
        <w:spacing w:after="80"/>
      </w:pPr>
    </w:p>
    <w:p>
      <w:pPr>
        <w:spacing w:after="60"/>
        <w:jc w:val="center"/>
      </w:pPr>
      <w:r>
        <w:rPr>
          <w:rFonts w:ascii="Arial" w:cs="Arial" w:eastAsia="Arial" w:hAnsi="Arial"/>
          <w:color w:val="555555"/>
          <w:sz w:val="24"/>
          <w:szCs w:val="24"/>
        </w:rPr>
        <w:t xml:space="preserve">Prepared for: George Rubagumya, Kigali, Rwanda</w:t>
      </w:r>
    </w:p>
    <w:p>
      <w:pPr>
        <w:spacing w:after="60"/>
        <w:jc w:val="center"/>
      </w:pPr>
      <w:r>
        <w:rPr>
          <w:rFonts w:ascii="Arial" w:cs="Arial" w:eastAsia="Arial" w:hAnsi="Arial"/>
          <w:color w:val="555555"/>
          <w:sz w:val="24"/>
          <w:szCs w:val="24"/>
        </w:rPr>
        <w:t xml:space="preserve">Date: March 2026</w:t>
      </w:r>
    </w:p>
    <w:p>
      <w:pPr>
        <w:spacing w:after="80"/>
      </w:pPr>
    </w:p>
    <w:p>
      <w:pPr>
        <w:spacing w:after="80"/>
      </w:pPr>
    </w:p>
    <w:p>
      <w:pPr>
        <w:spacing w:after="80"/>
      </w:pPr>
    </w:p>
    <w:p>
      <w:pPr>
        <w:spacing w:after="80"/>
      </w:pPr>
    </w:p>
    <w:p>
      <w:pPr>
        <w:spacing w:after="80"/>
      </w:pPr>
    </w:p>
    <w:p>
      <w:pPr>
        <w:spacing w:after="80"/>
      </w:pPr>
    </w:p>
    <w:p>
      <w:pPr>
        <w:spacing w:after="80"/>
      </w:pPr>
    </w:p>
    <w:p>
      <w:pPr>
        <w:spacing w:after="80"/>
      </w:pPr>
    </w:p>
    <w:p>
      <w:pPr>
        <w:jc w:val="center"/>
      </w:pPr>
      <w:r>
        <w:rPr>
          <w:rFonts w:ascii="Arial" w:cs="Arial" w:eastAsia="Arial" w:hAnsi="Arial"/>
          <w:color w:val="1B9E5C"/>
          <w:sz w:val="22"/>
          <w:szCs w:val="22"/>
        </w:rPr>
        <w:t xml:space="preserve">sereel.com</w:t>
      </w:r>
    </w:p>
    <w:p>
      <w:pPr>
        <w:sectPr>
          <w:pgSz w:w="12240" w:h="15840" w:orient="portrait"/>
          <w:pgMar w:top="1440" w:right="1440" w:bottom="1440" w:left="1440" w:header="708" w:footer="708" w:gutter="0"/>
          <w:pgNumType/>
          <w:docGrid w:linePitch="360"/>
        </w:sectPr>
      </w:pPr>
    </w:p>
    <w:p>
      <w:pPr>
        <w:pStyle w:val="Heading1"/>
        <w:spacing w:before="360" w:after="200"/>
      </w:pPr>
      <w:r>
        <w:rPr>
          <w:rFonts w:ascii="Arial" w:cs="Arial" w:eastAsia="Arial" w:hAnsi="Arial"/>
          <w:b/>
          <w:bCs/>
          <w:color w:val="1A1A2E"/>
          <w:sz w:val="32"/>
          <w:szCs w:val="32"/>
        </w:rPr>
        <w:t xml:space="preserve">1. Executive Summary</w:t>
      </w:r>
    </w:p>
    <w:p>
      <w:pPr>
        <w:pBdr>
          <w:bottom w:val="single" w:color="1B9E5C" w:sz="6" w:space="1"/>
        </w:pBdr>
        <w:spacing w:before="100" w:after="200"/>
      </w:pPr>
    </w:p>
    <w:p>
      <w:pPr>
        <w:spacing w:after="160" w:line="276"/>
      </w:pPr>
      <w:r>
        <w:rPr>
          <w:rFonts w:ascii="Arial" w:cs="Arial" w:eastAsia="Arial" w:hAnsi="Arial"/>
          <w:color w:val="555555"/>
          <w:sz w:val="24"/>
          <w:szCs w:val="24"/>
        </w:rPr>
        <w:t xml:space="preserve">Sereel Technologies is a digital asset infrastructure company purpose-built for institutional capital markets. We provide a unified technology stack covering tokenization, custody, primary issuance, and compliance, enabling asset managers, funds, and financial institutions to issue, manage, and trade tokenized securities without assembling a patchwork of vendors.</w:t>
      </w:r>
    </w:p>
    <w:p>
      <w:pPr>
        <w:spacing w:after="160" w:line="276"/>
      </w:pPr>
      <w:r>
        <w:rPr>
          <w:rFonts w:ascii="Arial" w:cs="Arial" w:eastAsia="Arial" w:hAnsi="Arial"/>
          <w:color w:val="555555"/>
          <w:sz w:val="24"/>
          <w:szCs w:val="24"/>
        </w:rPr>
        <w:t xml:space="preserve">The institutional tokenization market is fragmented. Most asset managers seeking to tokenize real-world assets must contract separately with a tokenization provider, a custodian, a compliance engine, a primary book-building service, and a distributed ledger network operator. Sereel eliminates this fragmentation by delivering the full stack as a single, integrated platform at institutional-grade standards and competitive economics: 10 basis points on primary issuance and 1 to 10 basis points AUM annually.</w:t>
      </w:r>
    </w:p>
    <w:p>
      <w:pPr>
        <w:spacing w:after="160" w:line="276"/>
      </w:pPr>
      <w:r>
        <w:rPr>
          <w:rFonts w:ascii="Arial" w:cs="Arial" w:eastAsia="Arial" w:hAnsi="Arial"/>
          <w:color w:val="555555"/>
          <w:sz w:val="24"/>
          <w:szCs w:val="24"/>
        </w:rPr>
        <w:t xml:space="preserve">Sereel is certified by the Capital Market Technology Association (CMTA) as a recognized technology provider (</w:t>
      </w:r>
      <w:r>
        <w:rPr>
          <w:rFonts w:ascii="Arial" w:cs="Arial" w:eastAsia="Arial" w:hAnsi="Arial"/>
          <w:color w:val="1B9E5C"/>
          <w:sz w:val="24"/>
          <w:szCs w:val="24"/>
        </w:rPr>
        <w:t xml:space="preserve">cmta.ch/certification/recognized-experts</w:t>
      </w:r>
      <w:r>
        <w:rPr>
          <w:rFonts w:ascii="Arial" w:cs="Arial" w:eastAsia="Arial" w:hAnsi="Arial"/>
          <w:color w:val="555555"/>
          <w:sz w:val="24"/>
          <w:szCs w:val="24"/>
        </w:rPr>
        <w:t xml:space="preserve">), deployed on Ethereum mainnet, and currently serving clients issuing fixed-yield tokens and tokenized securities. We are one of the few tokenization providers operating as a validator on the Canton Network, a distinction that major competitors including Securitize, Taurus, Tokeny, Obligate, and Polymath do not hold.</w:t>
      </w:r>
    </w:p>
    <w:p>
      <w:pPr>
        <w:spacing w:after="160" w:line="276"/>
      </w:pPr>
      <w:r>
        <w:rPr>
          <w:rFonts w:ascii="Arial" w:cs="Arial" w:eastAsia="Arial" w:hAnsi="Arial"/>
          <w:color w:val="555555"/>
          <w:sz w:val="24"/>
          <w:szCs w:val="24"/>
        </w:rPr>
        <w:t xml:space="preserve">Our team combines 15+ years of blockchain engineering between co-founders and lead engineer, 35+ years of global investment banking advisory through our senior advisor, and direct regulatory engagement with central banks and capital markets authorities across East Africa. We maintain boots on the ground in Nairobi, with established operations, legal counsel, and institutional relationships across Kenya, Rwanda, and Botswana.</w:t>
      </w:r>
    </w:p>
    <w:p>
      <w:pPr>
        <w:spacing w:after="160" w:line="276"/>
      </w:pPr>
      <w:r>
        <w:rPr>
          <w:rFonts w:ascii="Arial" w:cs="Arial" w:eastAsia="Arial" w:hAnsi="Arial"/>
          <w:color w:val="555555"/>
          <w:sz w:val="24"/>
          <w:szCs w:val="24"/>
        </w:rPr>
        <w:t xml:space="preserve">For Rwanda specifically, Sereel brings an unmatched depth of engagement. Our CEO has contributed to the Rwanda Bankers’ Association’s published research on digital currencies. Our legal counsel has helped shape virtual assets legislation in both Kenya and Rwanda. Our client base includes a Swiss institutional platform founder who chose Sereel over European alternatives. Sereel participated in the National Bank of Rwanda’s CBDC Ideathon, proposing a novel escrow system for using CBDC technology to manage on-chain stablecoins. The Sereel team also partnered with the Africa Blockchain Institute to train 15+ engineers in blockchain engineering from BK TecHouse, I&amp;M Bank, and other companies across Kigali. We are ready to support Rwandan financial institutions, including BPR, in navigating the tokenization opportunity as regulatory frameworks come into force.</w:t>
      </w:r>
    </w:p>
    <w:p>
      <w:pPr>
        <w:pStyle w:val="Heading1"/>
        <w:spacing w:before="360" w:after="200"/>
      </w:pPr>
      <w:r>
        <w:rPr>
          <w:rFonts w:ascii="Arial" w:cs="Arial" w:eastAsia="Arial" w:hAnsi="Arial"/>
          <w:b/>
          <w:bCs/>
          <w:color w:val="1A1A2E"/>
          <w:sz w:val="32"/>
          <w:szCs w:val="32"/>
        </w:rPr>
        <w:t xml:space="preserve">2. Leadership &amp; Team</w:t>
      </w:r>
    </w:p>
    <w:p>
      <w:pPr>
        <w:pBdr>
          <w:bottom w:val="single" w:color="1B9E5C" w:sz="6" w:space="1"/>
        </w:pBdr>
        <w:spacing w:before="100" w:after="200"/>
      </w:pPr>
    </w:p>
    <w:p>
      <w:pPr>
        <w:pStyle w:val="Heading2"/>
        <w:spacing w:before="280" w:after="160"/>
      </w:pPr>
      <w:r>
        <w:rPr>
          <w:rFonts w:ascii="Arial" w:cs="Arial" w:eastAsia="Arial" w:hAnsi="Arial"/>
          <w:b/>
          <w:bCs/>
          <w:color w:val="1B9E5C"/>
          <w:sz w:val="26"/>
          <w:szCs w:val="26"/>
        </w:rPr>
        <w:t xml:space="preserve">Lance Davis — CEO &amp; Co-Founder</w:t>
      </w:r>
    </w:p>
    <w:p>
      <w:pPr>
        <w:spacing w:after="160" w:line="276"/>
      </w:pPr>
      <w:r>
        <w:rPr>
          <w:rFonts w:ascii="Arial" w:cs="Arial" w:eastAsia="Arial" w:hAnsi="Arial"/>
          <w:color w:val="555555"/>
          <w:sz w:val="24"/>
          <w:szCs w:val="24"/>
        </w:rPr>
        <w:t xml:space="preserve">Lance Davis is a blockchain engineer and entrepreneur specializing in institutional digital asset infrastructure. He holds a BS in Computer Engineering from North Carolina A&amp;T State University, where he conducted research in machine learning and studied applied cryptography. Lance architects blockchain-interoperable financial services in Rust and Solidity, leveraging frameworks including Alloy and Tokio for high-performance systems. His technical portfolio spans ERC-4337 account abstraction wallets with advanced authentication (passkeys, zkEmail), AI agent development (Eliza, Giza), and smart contract systems for compliant securities issuance using ERC-3643/T-REX and CMTA standards. Lance brings deep expertise in standardized payments, banking infrastructure, and capital markets operations, with a focus on making institutional-grade tokenization accessible to asset managers across Africa and emerging markets.</w:t>
      </w:r>
    </w:p>
    <w:p>
      <w:pPr>
        <w:spacing w:after="160" w:line="276"/>
      </w:pPr>
      <w:r>
        <w:rPr>
          <w:rFonts w:ascii="Arial" w:cs="Arial" w:eastAsia="Arial" w:hAnsi="Arial"/>
          <w:color w:val="555555"/>
          <w:sz w:val="24"/>
          <w:szCs w:val="24"/>
        </w:rPr>
        <w:t xml:space="preserve">Lance maintains personal relationships with leading figures in blockchain innovation, including Vitalik Buterin (Ethereum), Eli Ben-Sasson (StarkWare), Zooko Wilcox (Zcash), Yi Sun, Justin Thaler, Dan Boneh (Stanford), and Ying Tong Lai. These connections provide Sereel with direct access to the frontier of cryptographic and protocol research, ensuring that the platform remains technically current and architecturally sound.</w:t>
      </w:r>
    </w:p>
    <w:p>
      <w:pPr>
        <w:spacing w:after="160" w:line="276"/>
      </w:pPr>
      <w:r>
        <w:rPr>
          <w:rFonts w:ascii="Arial" w:cs="Arial" w:eastAsia="Arial" w:hAnsi="Arial"/>
          <w:color w:val="555555"/>
          <w:sz w:val="24"/>
          <w:szCs w:val="24"/>
        </w:rPr>
        <w:t xml:space="preserve">Lance has participated in industry research consultations with the Kenyan and Rwandan Capital Markets Authorities and central banks (CBK and NBR), and is a credited contributor to the Rwanda Bankers’ Association’s 2025 research paper “Digital Money, Real Impact: Lessons from Global CBDC Pioneers for Rwanda’s Next Leap.”</w:t>
      </w:r>
    </w:p>
    <w:p>
      <w:pPr>
        <w:pStyle w:val="Heading2"/>
        <w:spacing w:before="280" w:after="160"/>
      </w:pPr>
      <w:r>
        <w:rPr>
          <w:rFonts w:ascii="Arial" w:cs="Arial" w:eastAsia="Arial" w:hAnsi="Arial"/>
          <w:b/>
          <w:bCs/>
          <w:color w:val="1B9E5C"/>
          <w:sz w:val="26"/>
          <w:szCs w:val="26"/>
        </w:rPr>
        <w:t xml:space="preserve">Fredrick Waihenya (Bunny) — CTO &amp; Co-Founder</w:t>
      </w:r>
    </w:p>
    <w:p>
      <w:pPr>
        <w:spacing w:after="160" w:line="276"/>
      </w:pPr>
      <w:r>
        <w:rPr>
          <w:rFonts w:ascii="Arial" w:cs="Arial" w:eastAsia="Arial" w:hAnsi="Arial"/>
          <w:color w:val="555555"/>
          <w:sz w:val="24"/>
          <w:szCs w:val="24"/>
        </w:rPr>
        <w:t xml:space="preserve">Fredrick Waihenya is a seasoned software engineer and technology executive with over seven years of experience spanning both traditional (Web2) and blockchain-based (Web3) systems, specializing in financial services infrastructure, high-availability systems, and secure distributed architectures. He holds a BSc in Software Engineering from Murang’a University and has completed advanced software development training in China.</w:t>
      </w:r>
    </w:p>
    <w:p>
      <w:pPr>
        <w:spacing w:after="160" w:line="276"/>
      </w:pPr>
      <w:r>
        <w:rPr>
          <w:rFonts w:ascii="Arial" w:cs="Arial" w:eastAsia="Arial" w:hAnsi="Arial"/>
          <w:color w:val="555555"/>
          <w:sz w:val="24"/>
          <w:szCs w:val="24"/>
        </w:rPr>
        <w:t xml:space="preserve">His experience includes contributions to banking-related systems in the UK, including work associated with Monzo Bank, as well as serving as a Lead Data Engineer on institutional collections and recovery platforms deployed across East and Southern Africa, where he scaled PostgreSQL databases and built robust data pipelines for production environments. He has also led DevOps efforts on AWS, maintaining system availability at 99.9% through resilient infrastructure design, monitoring, and automation. Additionally, he has operated as a Lead Engineer in high-stakes, high-throughput environments, securing hot custody wallets, designing fault-tolerant architectures, and leading engineering teams under strict performance and security requirements.</w:t>
      </w:r>
    </w:p>
    <w:p>
      <w:pPr>
        <w:spacing w:after="160" w:line="276"/>
      </w:pPr>
      <w:r>
        <w:rPr>
          <w:rFonts w:ascii="Arial" w:cs="Arial" w:eastAsia="Arial" w:hAnsi="Arial"/>
          <w:color w:val="555555"/>
          <w:sz w:val="24"/>
          <w:szCs w:val="24"/>
        </w:rPr>
        <w:t xml:space="preserve">As Chief Technology Officer at Sereel, Bunny leads the design and implementation of institutional-grade digital asset infrastructure. His work includes advanced key management systems leveraging Hardware Security Modules (HSMs) and Multi-Party Computation (MPC), multi-chain integrations, and the development of automated market makers for tokenized real-world assets powered by agentic AI. He provides technical leadership and strategic oversight, ensuring alignment with global standards and positioning the organization to meet the evolving needs of regulated financial institutions and capital markets.</w:t>
      </w:r>
    </w:p>
    <w:p>
      <w:pPr>
        <w:pStyle w:val="Heading2"/>
        <w:spacing w:before="280" w:after="160"/>
      </w:pPr>
      <w:r>
        <w:rPr>
          <w:rFonts w:ascii="Arial" w:cs="Arial" w:eastAsia="Arial" w:hAnsi="Arial"/>
          <w:b/>
          <w:bCs/>
          <w:color w:val="1B9E5C"/>
          <w:sz w:val="26"/>
          <w:szCs w:val="26"/>
        </w:rPr>
        <w:t xml:space="preserve">Blessing Samuel — Lead Protocol Engineer</w:t>
      </w:r>
    </w:p>
    <w:p>
      <w:pPr>
        <w:spacing w:after="160" w:line="276"/>
      </w:pPr>
      <w:r>
        <w:rPr>
          <w:rFonts w:ascii="Arial" w:cs="Arial" w:eastAsia="Arial" w:hAnsi="Arial"/>
          <w:color w:val="555555"/>
          <w:sz w:val="24"/>
          <w:szCs w:val="24"/>
        </w:rPr>
        <w:t xml:space="preserve">Blessing Samuel is a protocol engineer, systems developer, and technical writer with deep expertise spanning distributed systems, cryptographic primitives, P2P networking, and Ethereum protocol internals. Blessing brings extensive experience as a fullstack engineer, having built and shipped production-grade applications using React, Next.js, TypeScript, Tailwind CSS, Redux, and Zustand across multiple projects and clients. His frontend work spans complex DeFi platform interfaces, loyalty platforms, Web3 wallet integrations, component architecture design, performance optimization, and seamless onchain UX. This rare full-stack range, from pixel-perfect user interfaces to bare-metal protocol implementations in Rust, gives him the unique ability to operate across the entire engineering surface of a product, bridging product experience and infrastructure with equal fluency.</w:t>
      </w:r>
    </w:p>
    <w:p>
      <w:pPr>
        <w:spacing w:after="160" w:line="276"/>
      </w:pPr>
      <w:r>
        <w:rPr>
          <w:rFonts w:ascii="Arial" w:cs="Arial" w:eastAsia="Arial" w:hAnsi="Arial"/>
          <w:color w:val="555555"/>
          <w:sz w:val="24"/>
          <w:szCs w:val="24"/>
        </w:rPr>
        <w:t xml:space="preserve">Blessing is a proven competitor with major wins at Base Onchain Summer and ETHGlobal, the industry’s most prestigious hackathons. He is an active open-source contributor to respected Ethereum ecosystem repositories including the ethrex Ethereum client (lambdaclass/ethrex) and the alloy-rs/examples repository, and has participated in Ethereum Improvement Proposal discussions on Ethereum Magicians.</w:t>
      </w:r>
    </w:p>
    <w:p>
      <w:pPr>
        <w:spacing w:after="160" w:line="276"/>
      </w:pPr>
      <w:r>
        <w:rPr>
          <w:rFonts w:ascii="Arial" w:cs="Arial" w:eastAsia="Arial" w:hAnsi="Arial"/>
          <w:color w:val="555555"/>
          <w:sz w:val="24"/>
          <w:szCs w:val="24"/>
        </w:rPr>
        <w:t xml:space="preserve">He is the creator of MerkleForge, a published Rust library on crates.io providing a unified, trait-based API for Binary, Sparse, and Patricia Merkle Tries. His portfolio of first-principles implementations includes Signet (a full Ethereum signer implementing EIP-1559 and BIP-32/39), DiceRPC (a spec-compliant JSON-RPC framework), and BlockStream Inspector for deep Ethereum block forensics. He is also the creator of Sunder, a self-hosted threshold signing (MPC) service designed for institutional-grade key management, architecturally inspired by HashiCorp Vault’s Transit Engine.</w:t>
      </w:r>
    </w:p>
    <w:p>
      <w:pPr>
        <w:spacing w:after="160" w:line="276"/>
      </w:pPr>
      <w:r>
        <w:rPr>
          <w:rFonts w:ascii="Arial" w:cs="Arial" w:eastAsia="Arial" w:hAnsi="Arial"/>
          <w:color w:val="555555"/>
          <w:sz w:val="24"/>
          <w:szCs w:val="24"/>
        </w:rPr>
        <w:t xml:space="preserve">A former Protocol Engineering Intern at Blockfuse Labs, Blessing specialized in blockchain infrastructure, protocol internals, and P2P networking. Beyond code, he is a published technical writer covering Ethereum protocol internals, asset tokenization, and real-world asset infrastructure.</w:t>
      </w:r>
    </w:p>
    <w:p>
      <w:pPr>
        <w:pStyle w:val="Heading1"/>
        <w:spacing w:before="360" w:after="200"/>
      </w:pPr>
      <w:r>
        <w:rPr>
          <w:rFonts w:ascii="Arial" w:cs="Arial" w:eastAsia="Arial" w:hAnsi="Arial"/>
          <w:b/>
          <w:bCs/>
          <w:color w:val="1A1A2E"/>
          <w:sz w:val="32"/>
          <w:szCs w:val="32"/>
        </w:rPr>
        <w:t xml:space="preserve">3. Advisory Network</w:t>
      </w:r>
    </w:p>
    <w:p>
      <w:pPr>
        <w:pBdr>
          <w:bottom w:val="single" w:color="1B9E5C" w:sz="6" w:space="1"/>
        </w:pBdr>
        <w:spacing w:before="100" w:after="200"/>
      </w:pPr>
    </w:p>
    <w:p>
      <w:pPr>
        <w:pStyle w:val="Heading2"/>
        <w:spacing w:before="280" w:after="160"/>
      </w:pPr>
      <w:r>
        <w:rPr>
          <w:rFonts w:ascii="Arial" w:cs="Arial" w:eastAsia="Arial" w:hAnsi="Arial"/>
          <w:b/>
          <w:bCs/>
          <w:color w:val="1B9E5C"/>
          <w:sz w:val="26"/>
          <w:szCs w:val="26"/>
        </w:rPr>
        <w:t xml:space="preserve">Paul Reynolds — Senior Advisor, Investment Banking</w:t>
      </w:r>
    </w:p>
    <w:p>
      <w:pPr>
        <w:spacing w:after="160" w:line="276"/>
      </w:pPr>
      <w:r>
        <w:rPr>
          <w:rFonts w:ascii="Arial" w:cs="Arial" w:eastAsia="Arial" w:hAnsi="Arial"/>
          <w:color w:val="555555"/>
          <w:sz w:val="24"/>
          <w:szCs w:val="24"/>
        </w:rPr>
        <w:t xml:space="preserve">Paul has three decades of global investment banking experience. Lead advisor on 175 announced banking and capital market transactions totaling €250 billion between 2003 and 2016, he has extensive sovereign, regulatory, financial institution, private equity, and corporate transactional experience in EMEA and India across public and private debt and equity capital markets, derivatives, and restructuring. He has also advised at ministerial and board levels on governance and controls, strategy, M&amp;A, risk measurement, pricing and management, economic and market development policy, and establishing and leading successful complex multi-jurisdictional, multi-disciplined teams.</w:t>
      </w:r>
    </w:p>
    <w:p>
      <w:pPr>
        <w:spacing w:after="160" w:line="276"/>
      </w:pPr>
      <w:r>
        <w:rPr>
          <w:rFonts w:ascii="Arial" w:cs="Arial" w:eastAsia="Arial" w:hAnsi="Arial"/>
          <w:color w:val="555555"/>
          <w:sz w:val="24"/>
          <w:szCs w:val="24"/>
        </w:rPr>
        <w:t xml:space="preserve">Paul built successful teams and businesses for Cazenove (UK 2001–05), Rothschild (UK 2005–08, Middle East &amp; India 2008–12, Benelux &amp; Nordic 2012–16), Inchcape (East Africa 2017–20), and RENEW Capital (Sub-Saharan Africa 2020–22), as well as for not-for-profit enterprises: the Association of Corporate Treasurers (ACT) Middle East (2008–12), ACT East Africa (2016–22), the Middle East Investor Relations Society (2008–15), and the Investor Relations Society of South Africa (2017–25). Based in Addis Ababa since 2016, Paul joined Inchcape to drive growth across Africa and multi-sector investment in Ethiopia, and in 2020 joined Renew Capital to drive growth across sub-Saharan Africa. He is currently a Senior Advisor or non-executive at a number of enterprises including Rothschild, Zuri Capital, Pragma Capital, Investure Nobon, and Sereel.</w:t>
      </w:r>
    </w:p>
    <w:p>
      <w:pPr>
        <w:pStyle w:val="Heading2"/>
        <w:spacing w:before="280" w:after="160"/>
      </w:pPr>
      <w:r>
        <w:rPr>
          <w:rFonts w:ascii="Arial" w:cs="Arial" w:eastAsia="Arial" w:hAnsi="Arial"/>
          <w:b/>
          <w:bCs/>
          <w:color w:val="1B9E5C"/>
          <w:sz w:val="26"/>
          <w:szCs w:val="26"/>
        </w:rPr>
        <w:t xml:space="preserve">Sirungai Allan Kakai — Legal Counsel &amp; Regulatory Advisor</w:t>
      </w:r>
    </w:p>
    <w:p>
      <w:pPr>
        <w:spacing w:after="160" w:line="276"/>
      </w:pPr>
      <w:r>
        <w:rPr>
          <w:rFonts w:ascii="Arial" w:cs="Arial" w:eastAsia="Arial" w:hAnsi="Arial"/>
          <w:color w:val="555555"/>
          <w:sz w:val="24"/>
          <w:szCs w:val="24"/>
        </w:rPr>
        <w:t xml:space="preserve">Allan Kakai is a Kenyan blockchain and digital assets lawyer, currently serving as Legal Chief at Steakhouse Financial and Director of the Virtual Assets Chamber of Commerce (VACC). He previously served as Director of Legal and Policy Affairs at the Blockchain Association of Kenya (BAK), where he advocated before Kenya’s National Assembly Finance Committee for comprehensive digital asset regulation and played a central role in drafting the community-driven Virtual Asset Service Providers (VASP) Bill, the landmark legislation now progressing through Kenya’s Parliament. Through VACC, Kakai has been instrumental in building regulatory dialogue with the Capital Markets Authority, Central Bank of Kenya, and the National Treasury on consumer protection, licensing, compliance, and AML/CFT frameworks. VACC’s regulatory engagement extends to Rwanda, where the organization has contributed to the development of virtual assets legislation now approved by Cabinet for parliamentary consideration.</w:t>
      </w:r>
    </w:p>
    <w:p>
      <w:pPr>
        <w:spacing w:after="160" w:line="276"/>
      </w:pPr>
      <w:r>
        <w:rPr>
          <w:rFonts w:ascii="Arial" w:cs="Arial" w:eastAsia="Arial" w:hAnsi="Arial"/>
          <w:color w:val="555555"/>
          <w:sz w:val="24"/>
          <w:szCs w:val="24"/>
        </w:rPr>
        <w:t xml:space="preserve">A long-standing legal partner of Sereel Technologies, Kakai has directly referenced Sereel as an industry thought leader in regulatory forums and attests to the company’s regulatory readiness and technical capability to build tokenized deposit and securities infrastructure for institutional clients, including commercial banks such as BPR. He is also a named contributor to the Rwanda Bankers’ Association’s 2025 research paper on CBDCs, alongside Sereel CEO Lance Davis.</w:t>
      </w:r>
    </w:p>
    <w:p>
      <w:pPr>
        <w:pStyle w:val="Heading2"/>
        <w:spacing w:before="280" w:after="160"/>
      </w:pPr>
      <w:r>
        <w:rPr>
          <w:rFonts w:ascii="Arial" w:cs="Arial" w:eastAsia="Arial" w:hAnsi="Arial"/>
          <w:b/>
          <w:bCs/>
          <w:color w:val="1B9E5C"/>
          <w:sz w:val="26"/>
          <w:szCs w:val="26"/>
        </w:rPr>
        <w:t xml:space="preserve">Eugène Désiré Nzengou — Advisor, Blockchain &amp; AI Infrastructure</w:t>
      </w:r>
    </w:p>
    <w:p>
      <w:pPr>
        <w:spacing w:after="160" w:line="276"/>
      </w:pPr>
      <w:r>
        <w:rPr>
          <w:rFonts w:ascii="Arial" w:cs="Arial" w:eastAsia="Arial" w:hAnsi="Arial"/>
          <w:color w:val="555555"/>
          <w:sz w:val="24"/>
          <w:szCs w:val="24"/>
        </w:rPr>
        <w:t xml:space="preserve">Eugène Désiré Nzengou is a multidisciplinary engineer and innovation strategist specializing in the convergence of Complex Adaptive Systems (CAS), Agentic AI, and decentralized infrastructure. With an academic foundation in Engineering Physics and a Complementary Master’s from Chalmers University in CAS, he architects autonomous frameworks including the Prometheus engine and Aethelred, a geopolitical AI advisor.</w:t>
      </w:r>
    </w:p>
    <w:p>
      <w:pPr>
        <w:spacing w:after="160" w:line="276"/>
      </w:pPr>
      <w:r>
        <w:rPr>
          <w:rFonts w:ascii="Arial" w:cs="Arial" w:eastAsia="Arial" w:hAnsi="Arial"/>
          <w:color w:val="555555"/>
          <w:sz w:val="24"/>
          <w:szCs w:val="24"/>
        </w:rPr>
        <w:t xml:space="preserve">A cornerstone of the African blockchain ecosystem, Eugène served as a Board Member of the Africa Blockchain Institute and was a founding member of the Blockchain Rwanda Association. His work focuses on designing the crypto-enabled agent economy, leveraging BNB Non-Fungible Agents (NFAs) and AI equivalents, while leading bootstrapped tokenization R&amp;D (BTC/ETH) across East, Central, and West Africa. From his AI-blockchain integration land-rw (land tokenization in Rwanda) to his role as a mentor in the EU-funded CASSINI programme for space technology, Eugène transforms deep-tech research into sovereign, self-organizing infrastructure. He is also a named contributor to the Rwanda Bankers’ Association’s 2025 CBDC research paper alongside Lance Davis and Allan Kakai.</w:t>
      </w:r>
    </w:p>
    <w:p>
      <w:pPr>
        <w:pStyle w:val="Heading1"/>
        <w:spacing w:before="360" w:after="200"/>
      </w:pPr>
      <w:r>
        <w:rPr>
          <w:rFonts w:ascii="Arial" w:cs="Arial" w:eastAsia="Arial" w:hAnsi="Arial"/>
          <w:b/>
          <w:bCs/>
          <w:color w:val="1A1A2E"/>
          <w:sz w:val="32"/>
          <w:szCs w:val="32"/>
        </w:rPr>
        <w:t xml:space="preserve">4. Technology Platform &amp; Capabilities</w:t>
      </w:r>
    </w:p>
    <w:p>
      <w:pPr>
        <w:pBdr>
          <w:bottom w:val="single" w:color="1B9E5C" w:sz="6" w:space="1"/>
        </w:pBdr>
        <w:spacing w:before="100" w:after="200"/>
      </w:pPr>
    </w:p>
    <w:p>
      <w:pPr>
        <w:pStyle w:val="Heading2"/>
        <w:spacing w:before="280" w:after="160"/>
      </w:pPr>
      <w:r>
        <w:rPr>
          <w:rFonts w:ascii="Arial" w:cs="Arial" w:eastAsia="Arial" w:hAnsi="Arial"/>
          <w:b/>
          <w:bCs/>
          <w:color w:val="1B9E5C"/>
          <w:sz w:val="26"/>
          <w:szCs w:val="26"/>
        </w:rPr>
        <w:t xml:space="preserve">Core Infrastructure</w:t>
      </w:r>
    </w:p>
    <w:p>
      <w:pPr>
        <w:spacing w:after="160" w:line="276"/>
      </w:pPr>
      <w:r>
        <w:rPr>
          <w:rFonts w:ascii="Arial" w:cs="Arial" w:eastAsia="Arial" w:hAnsi="Arial"/>
          <w:color w:val="555555"/>
          <w:sz w:val="24"/>
          <w:szCs w:val="24"/>
        </w:rPr>
        <w:t xml:space="preserve">Sereel’s platform delivers a unified stack across five pillars of institutional tokenization:</w:t>
      </w:r>
    </w:p>
    <w:p>
      <w:pPr>
        <w:spacing w:after="160" w:line="276"/>
      </w:pPr>
      <w:r>
        <w:rPr>
          <w:rFonts w:ascii="Arial" w:cs="Arial" w:eastAsia="Arial" w:hAnsi="Arial"/>
          <w:b/>
          <w:bCs/>
          <w:color w:val="555555"/>
          <w:sz w:val="24"/>
          <w:szCs w:val="24"/>
        </w:rPr>
        <w:t xml:space="preserve">Tokenization Engine. </w:t>
      </w:r>
      <w:r>
        <w:rPr>
          <w:rFonts w:ascii="Arial" w:cs="Arial" w:eastAsia="Arial" w:hAnsi="Arial"/>
          <w:color w:val="555555"/>
          <w:sz w:val="24"/>
          <w:szCs w:val="24"/>
        </w:rPr>
        <w:t xml:space="preserve">Compliant securities issuance using ERC-3643/T-REX on Ethereum and CMTA-standard smart contracts. Sereel is a certified CMTA Technology Provider, having deployed to mainnet in December 2025.</w:t>
      </w:r>
    </w:p>
    <w:p>
      <w:pPr>
        <w:spacing w:after="160" w:line="276"/>
      </w:pPr>
      <w:r>
        <w:rPr>
          <w:rFonts w:ascii="Arial" w:cs="Arial" w:eastAsia="Arial" w:hAnsi="Arial"/>
          <w:b/>
          <w:bCs/>
          <w:color w:val="555555"/>
          <w:sz w:val="24"/>
          <w:szCs w:val="24"/>
        </w:rPr>
        <w:t xml:space="preserve">Native Custody. </w:t>
      </w:r>
      <w:r>
        <w:rPr>
          <w:rFonts w:ascii="Arial" w:cs="Arial" w:eastAsia="Arial" w:hAnsi="Arial"/>
          <w:color w:val="555555"/>
          <w:sz w:val="24"/>
          <w:szCs w:val="24"/>
        </w:rPr>
        <w:t xml:space="preserve">Multi-chain custody infrastructure supporting Ethereum, Bitcoin, and additional networks. Key management leverages HSMs and MPC for institutional-grade security, with the Sunder threshold signing service providing a production-ready alternative to traditional hardware-only approaches.</w:t>
      </w:r>
    </w:p>
    <w:p>
      <w:pPr>
        <w:spacing w:after="160" w:line="276"/>
      </w:pPr>
      <w:r>
        <w:rPr>
          <w:rFonts w:ascii="Arial" w:cs="Arial" w:eastAsia="Arial" w:hAnsi="Arial"/>
          <w:b/>
          <w:bCs/>
          <w:color w:val="555555"/>
          <w:sz w:val="24"/>
          <w:szCs w:val="24"/>
        </w:rPr>
        <w:t xml:space="preserve">Primary Issuance. </w:t>
      </w:r>
      <w:r>
        <w:rPr>
          <w:rFonts w:ascii="Arial" w:cs="Arial" w:eastAsia="Arial" w:hAnsi="Arial"/>
          <w:color w:val="555555"/>
          <w:sz w:val="24"/>
          <w:szCs w:val="24"/>
        </w:rPr>
        <w:t xml:space="preserve">SereelPrimaryBook, a smart contract system for primary book-building and allocation, enabling asset managers to run compliant token offerings end-to-end.</w:t>
      </w:r>
    </w:p>
    <w:p>
      <w:pPr>
        <w:spacing w:after="160" w:line="276"/>
      </w:pPr>
      <w:r>
        <w:rPr>
          <w:rFonts w:ascii="Arial" w:cs="Arial" w:eastAsia="Arial" w:hAnsi="Arial"/>
          <w:b/>
          <w:bCs/>
          <w:color w:val="555555"/>
          <w:sz w:val="24"/>
          <w:szCs w:val="24"/>
        </w:rPr>
        <w:t xml:space="preserve">Compliance Engine. </w:t>
      </w:r>
      <w:r>
        <w:rPr>
          <w:rFonts w:ascii="Arial" w:cs="Arial" w:eastAsia="Arial" w:hAnsi="Arial"/>
          <w:color w:val="555555"/>
          <w:sz w:val="24"/>
          <w:szCs w:val="24"/>
        </w:rPr>
        <w:t xml:space="preserve">Integrated identity verification, transfer restrictions, and regulatory reporting aligned with AML/CFT requirements across multiple jurisdictions.</w:t>
      </w:r>
    </w:p>
    <w:p>
      <w:pPr>
        <w:spacing w:after="160" w:line="276"/>
      </w:pPr>
      <w:r>
        <w:rPr>
          <w:rFonts w:ascii="Arial" w:cs="Arial" w:eastAsia="Arial" w:hAnsi="Arial"/>
          <w:b/>
          <w:bCs/>
          <w:color w:val="555555"/>
          <w:sz w:val="24"/>
          <w:szCs w:val="24"/>
        </w:rPr>
        <w:t xml:space="preserve">Network Validation. </w:t>
      </w:r>
      <w:r>
        <w:rPr>
          <w:rFonts w:ascii="Arial" w:cs="Arial" w:eastAsia="Arial" w:hAnsi="Arial"/>
          <w:color w:val="555555"/>
          <w:sz w:val="24"/>
          <w:szCs w:val="24"/>
        </w:rPr>
        <w:t xml:space="preserve">Sereel operates as a validator on the Canton Network, providing direct participation in the governance and settlement infrastructure of a leading institutional DLT network. This validator status is a meaningful differentiator: competitors including Securitize, Taurus, Tokeny, Obligate, and Polymath do not hold equivalent positions on this network.</w:t>
      </w:r>
    </w:p>
    <w:p>
      <w:pPr>
        <w:pStyle w:val="Heading2"/>
        <w:spacing w:before="280" w:after="160"/>
      </w:pPr>
      <w:r>
        <w:rPr>
          <w:rFonts w:ascii="Arial" w:cs="Arial" w:eastAsia="Arial" w:hAnsi="Arial"/>
          <w:b/>
          <w:bCs/>
          <w:color w:val="1B9E5C"/>
          <w:sz w:val="26"/>
          <w:szCs w:val="26"/>
        </w:rPr>
        <w:t xml:space="preserve">Technical Standards &amp; Certifications</w:t>
      </w:r>
    </w:p>
    <w:p>
      <w:pPr>
        <w:pStyle w:val="ListParagraph"/>
        <w:numPr>
          <w:ilvl w:val="0"/>
          <w:numId w:val="2"/>
        </w:numPr>
        <w:spacing w:after="80" w:line="276"/>
      </w:pPr>
      <w:r>
        <w:rPr>
          <w:rFonts w:ascii="Arial" w:cs="Arial" w:eastAsia="Arial" w:hAnsi="Arial"/>
          <w:color w:val="555555"/>
          <w:sz w:val="24"/>
          <w:szCs w:val="24"/>
        </w:rPr>
        <w:t xml:space="preserve">CMTA Technology Provider (certified, mainnet deployed December 2025)</w:t>
      </w:r>
    </w:p>
    <w:p>
      <w:pPr>
        <w:pStyle w:val="ListParagraph"/>
        <w:numPr>
          <w:ilvl w:val="0"/>
          <w:numId w:val="2"/>
        </w:numPr>
        <w:spacing w:after="80" w:line="276"/>
      </w:pPr>
      <w:r>
        <w:rPr>
          <w:rFonts w:ascii="Arial" w:cs="Arial" w:eastAsia="Arial" w:hAnsi="Arial"/>
          <w:color w:val="555555"/>
          <w:sz w:val="24"/>
          <w:szCs w:val="24"/>
        </w:rPr>
        <w:t xml:space="preserve">ERC-3643/T-REX compliant securities issuance</w:t>
      </w:r>
    </w:p>
    <w:p>
      <w:pPr>
        <w:pStyle w:val="ListParagraph"/>
        <w:numPr>
          <w:ilvl w:val="0"/>
          <w:numId w:val="2"/>
        </w:numPr>
        <w:spacing w:after="80" w:line="276"/>
      </w:pPr>
      <w:r>
        <w:rPr>
          <w:rFonts w:ascii="Arial" w:cs="Arial" w:eastAsia="Arial" w:hAnsi="Arial"/>
          <w:color w:val="555555"/>
          <w:sz w:val="24"/>
          <w:szCs w:val="24"/>
        </w:rPr>
        <w:t xml:space="preserve">ERC-4626 vault infrastructure for asset manager clients</w:t>
      </w:r>
    </w:p>
    <w:p>
      <w:pPr>
        <w:pStyle w:val="ListParagraph"/>
        <w:numPr>
          <w:ilvl w:val="0"/>
          <w:numId w:val="2"/>
        </w:numPr>
        <w:spacing w:after="80" w:line="276"/>
      </w:pPr>
      <w:r>
        <w:rPr>
          <w:rFonts w:ascii="Arial" w:cs="Arial" w:eastAsia="Arial" w:hAnsi="Arial"/>
          <w:color w:val="555555"/>
          <w:sz w:val="24"/>
          <w:szCs w:val="24"/>
        </w:rPr>
        <w:t xml:space="preserve">Canton Network validator</w:t>
      </w:r>
    </w:p>
    <w:p>
      <w:pPr>
        <w:pStyle w:val="ListParagraph"/>
        <w:numPr>
          <w:ilvl w:val="0"/>
          <w:numId w:val="2"/>
        </w:numPr>
        <w:spacing w:after="80" w:line="276"/>
      </w:pPr>
      <w:r>
        <w:rPr>
          <w:rFonts w:ascii="Arial" w:cs="Arial" w:eastAsia="Arial" w:hAnsi="Arial"/>
          <w:color w:val="555555"/>
          <w:sz w:val="24"/>
          <w:szCs w:val="24"/>
        </w:rPr>
        <w:t xml:space="preserve">SOC 2 Type II and ISO 27001 certification in progress</w:t>
      </w:r>
    </w:p>
    <w:p>
      <w:pPr>
        <w:pStyle w:val="Heading1"/>
        <w:spacing w:before="360" w:after="200"/>
      </w:pPr>
      <w:r>
        <w:rPr>
          <w:rFonts w:ascii="Arial" w:cs="Arial" w:eastAsia="Arial" w:hAnsi="Arial"/>
          <w:b/>
          <w:bCs/>
          <w:color w:val="1A1A2E"/>
          <w:sz w:val="32"/>
          <w:szCs w:val="32"/>
        </w:rPr>
        <w:t xml:space="preserve">5. Client Engagements &amp; Track Record</w:t>
      </w:r>
    </w:p>
    <w:p>
      <w:pPr>
        <w:pBdr>
          <w:bottom w:val="single" w:color="1B9E5C" w:sz="6" w:space="1"/>
        </w:pBdr>
        <w:spacing w:before="100" w:after="200"/>
      </w:pPr>
    </w:p>
    <w:p>
      <w:pPr>
        <w:pStyle w:val="Heading2"/>
        <w:spacing w:before="280" w:after="160"/>
      </w:pPr>
      <w:r>
        <w:rPr>
          <w:rFonts w:ascii="Arial" w:cs="Arial" w:eastAsia="Arial" w:hAnsi="Arial"/>
          <w:b/>
          <w:bCs/>
          <w:color w:val="1B9E5C"/>
          <w:sz w:val="26"/>
          <w:szCs w:val="26"/>
        </w:rPr>
        <w:t xml:space="preserve">Future Wealth Group / IXNotes — Tokenized Fixed-Yield Securities</w:t>
      </w:r>
    </w:p>
    <w:p>
      <w:pPr>
        <w:spacing w:after="160" w:line="276"/>
      </w:pPr>
      <w:r>
        <w:rPr>
          <w:rFonts w:ascii="Arial" w:cs="Arial" w:eastAsia="Arial" w:hAnsi="Arial"/>
          <w:color w:val="555555"/>
          <w:sz w:val="24"/>
          <w:szCs w:val="24"/>
        </w:rPr>
        <w:t xml:space="preserve">Hugh Macmillen is a veteran of institutional financial markets with over two decades of experience in voice brokerage and interdealer markets, having held senior positions at BGC Partners, ICAP, and Coutts &amp; Co. In 2016, he founded Instimatch Global, a Swiss fintech platform that digitized institutional money market trading, connecting bank treasuries, corporates, pension funds, asset managers, and municipalities across 30+ countries and 300+ institutional clients. Instimatch won the Swiss FinTech Award and raised CHF 11.5 million in pre-Series A financing. Hugh also serves as Chairman and Managing Director of IxNotes Global AG and as a board member of Future Wealth Group AG, both registered in Switzerland.</w:t>
      </w:r>
    </w:p>
    <w:p>
      <w:pPr>
        <w:spacing w:after="160" w:line="276"/>
      </w:pPr>
      <w:r>
        <w:rPr>
          <w:rFonts w:ascii="Arial" w:cs="Arial" w:eastAsia="Arial" w:hAnsi="Arial"/>
          <w:color w:val="555555"/>
          <w:sz w:val="24"/>
          <w:szCs w:val="24"/>
        </w:rPr>
        <w:t xml:space="preserve">Future Wealth Group signed with Sereel Technologies in October 2025 and has since initiated two tokenization projects with the team: GROW tokens, a tokenized investment tool backed by solar installations in Mali, and IXNotes, a fixed-yield token product issued on the Ethereum blockchain. Future Wealth Group is actively exploring deployment of IXNotes on the Canton Network, leveraging Sereel’s validator infrastructure. Hugh’s decision to build on Sereel’s platform, rather than any of the established Swiss or Singaporean tokenization providers in his own backyard, speaks directly to the quality and competitiveness of Sereel’s technology and team.</w:t>
      </w:r>
    </w:p>
    <w:p>
      <w:pPr>
        <w:pStyle w:val="Heading2"/>
        <w:spacing w:before="280" w:after="160"/>
      </w:pPr>
      <w:r>
        <w:rPr>
          <w:rFonts w:ascii="Arial" w:cs="Arial" w:eastAsia="Arial" w:hAnsi="Arial"/>
          <w:b/>
          <w:bCs/>
          <w:color w:val="1B9E5C"/>
          <w:sz w:val="26"/>
          <w:szCs w:val="26"/>
        </w:rPr>
        <w:t xml:space="preserve">Wayve Capital / SEMCAP AI — Tokenized AI Fund Exploration</w:t>
      </w:r>
    </w:p>
    <w:p>
      <w:pPr>
        <w:spacing w:after="160" w:line="276"/>
      </w:pPr>
      <w:r>
        <w:rPr>
          <w:rFonts w:ascii="Arial" w:cs="Arial" w:eastAsia="Arial" w:hAnsi="Arial"/>
          <w:color w:val="555555"/>
          <w:sz w:val="24"/>
          <w:szCs w:val="24"/>
        </w:rPr>
        <w:t xml:space="preserve">Abraham Kromah is the CEO of Wayve Capital Management, an SEC-registered investment advisor based in the Philadelphia area serving high-net-worth individuals, family offices, and institutions. Abraham is also a Managing Director at SEMCAP AI, a growth equity strategy launched by SEMCAP in April 2025 to invest in high-growth AI platforms, vertical solutions, and infrastructure. SEMCAP AI has partnered with Wayve Capital to offer public investment opportunities alongside its core private investment strategies, and recently led a $5.5 million investment round in Arcana Labs. Abraham holds a BA from Duke University and previously served as a Commercial Real Estate Industrial Advisor at CBRE and as a professional athlete in the Canadian Football League, where he was a member of the Saskatchewan Roughriders’ 2013 Grey Cup Championship Team.</w:t>
      </w:r>
    </w:p>
    <w:p>
      <w:pPr>
        <w:spacing w:after="160" w:line="276"/>
      </w:pPr>
      <w:r>
        <w:rPr>
          <w:rFonts w:ascii="Arial" w:cs="Arial" w:eastAsia="Arial" w:hAnsi="Arial"/>
          <w:color w:val="555555"/>
          <w:sz w:val="24"/>
          <w:szCs w:val="24"/>
        </w:rPr>
        <w:t xml:space="preserve">Sereel’s executive team has engaged directly with Wayve Capital leadership to explore tokenizing a portion of the SEMCAP AI fund, which is co-managed by SEMCAP. This engagement represents a compelling use case for bringing institutional AI investment strategies on-chain, and reflects growing interest from U.S.-based SEC-registered advisors in leveraging Sereel’s tokenization and primary issuance infrastructure for alternative asset classes.</w:t>
      </w:r>
    </w:p>
    <w:p>
      <w:pPr>
        <w:pStyle w:val="Heading1"/>
        <w:spacing w:before="360" w:after="200"/>
      </w:pPr>
      <w:r>
        <w:rPr>
          <w:rFonts w:ascii="Arial" w:cs="Arial" w:eastAsia="Arial" w:hAnsi="Arial"/>
          <w:b/>
          <w:bCs/>
          <w:color w:val="1A1A2E"/>
          <w:sz w:val="32"/>
          <w:szCs w:val="32"/>
        </w:rPr>
        <w:t xml:space="preserve">6. Rwanda Engagement &amp; Regulatory Footprint</w:t>
      </w:r>
    </w:p>
    <w:p>
      <w:pPr>
        <w:pBdr>
          <w:bottom w:val="single" w:color="1B9E5C" w:sz="6" w:space="1"/>
        </w:pBdr>
        <w:spacing w:before="100" w:after="200"/>
      </w:pPr>
    </w:p>
    <w:p>
      <w:pPr>
        <w:spacing w:after="160" w:line="276"/>
      </w:pPr>
      <w:r>
        <w:rPr>
          <w:rFonts w:ascii="Arial" w:cs="Arial" w:eastAsia="Arial" w:hAnsi="Arial"/>
          <w:color w:val="555555"/>
          <w:sz w:val="24"/>
          <w:szCs w:val="24"/>
        </w:rPr>
        <w:t xml:space="preserve">Sereel’s footprint in Rwanda is deeper than any alternative tokenization provider. Our engagement includes:</w:t>
      </w:r>
    </w:p>
    <w:p>
      <w:pPr>
        <w:pStyle w:val="Heading2"/>
        <w:spacing w:before="280" w:after="160"/>
      </w:pPr>
      <w:r>
        <w:rPr>
          <w:rFonts w:ascii="Arial" w:cs="Arial" w:eastAsia="Arial" w:hAnsi="Arial"/>
          <w:b/>
          <w:bCs/>
          <w:color w:val="1B9E5C"/>
          <w:sz w:val="26"/>
          <w:szCs w:val="26"/>
        </w:rPr>
        <w:t xml:space="preserve">Direct Regulatory Engagement</w:t>
      </w:r>
    </w:p>
    <w:p>
      <w:pPr>
        <w:spacing w:after="160" w:line="276"/>
      </w:pPr>
      <w:r>
        <w:rPr>
          <w:rFonts w:ascii="Arial" w:cs="Arial" w:eastAsia="Arial" w:hAnsi="Arial"/>
          <w:b/>
          <w:bCs/>
          <w:color w:val="555555"/>
          <w:sz w:val="24"/>
          <w:szCs w:val="24"/>
        </w:rPr>
        <w:t xml:space="preserve">Rwanda Bankers’ Association Research Contribution. </w:t>
      </w:r>
      <w:r>
        <w:rPr>
          <w:rFonts w:ascii="Arial" w:cs="Arial" w:eastAsia="Arial" w:hAnsi="Arial"/>
          <w:color w:val="555555"/>
          <w:sz w:val="24"/>
          <w:szCs w:val="24"/>
        </w:rPr>
        <w:t xml:space="preserve">Sereel CEO Lance Davis is a credited contributor to the RBA Research Centre’s 2025 paper “Digital Money, Real Impact: Lessons from Global CBDC Pioneers for Rwanda’s Next Leap,” authored by Eric Niyongira, Yves Dusabirema, and Jared Osoro. Sereel legal counsel Allan Kakai is also a named contributor. This paper, published at rba.rw, directly informs Rwanda’s CBDC and digital currency strategy. Sereel is one of the only tokenization technology providers with a cited contribution to Rwanda’s official banking sector research.</w:t>
      </w:r>
    </w:p>
    <w:p>
      <w:pPr>
        <w:spacing w:after="160" w:line="276"/>
      </w:pPr>
      <w:r>
        <w:rPr>
          <w:rFonts w:ascii="Arial" w:cs="Arial" w:eastAsia="Arial" w:hAnsi="Arial"/>
          <w:b/>
          <w:bCs/>
          <w:color w:val="555555"/>
          <w:sz w:val="24"/>
          <w:szCs w:val="24"/>
        </w:rPr>
        <w:t xml:space="preserve">National Bank of Rwanda CBDC Ideathon. </w:t>
      </w:r>
      <w:r>
        <w:rPr>
          <w:rFonts w:ascii="Arial" w:cs="Arial" w:eastAsia="Arial" w:hAnsi="Arial"/>
          <w:color w:val="555555"/>
          <w:sz w:val="24"/>
          <w:szCs w:val="24"/>
        </w:rPr>
        <w:t xml:space="preserve">Sereel participated in the National Bank of Rwanda’s retail CBDC Ideathon, held during the proof-of-concept phase in partnership with Giesecke+Devrient. Sereel proposed a novel escrow system for using CBDC technology to manage on-chain stablecoins, directly contributing to the innovation pipeline for Rwanda’s digital franc (e-FRW).</w:t>
      </w:r>
    </w:p>
    <w:p>
      <w:pPr>
        <w:spacing w:after="160" w:line="276"/>
      </w:pPr>
      <w:r>
        <w:rPr>
          <w:rFonts w:ascii="Arial" w:cs="Arial" w:eastAsia="Arial" w:hAnsi="Arial"/>
          <w:b/>
          <w:bCs/>
          <w:color w:val="555555"/>
          <w:sz w:val="24"/>
          <w:szCs w:val="24"/>
        </w:rPr>
        <w:t xml:space="preserve">Central Bank and CMA Consultations. </w:t>
      </w:r>
      <w:r>
        <w:rPr>
          <w:rFonts w:ascii="Arial" w:cs="Arial" w:eastAsia="Arial" w:hAnsi="Arial"/>
          <w:color w:val="555555"/>
          <w:sz w:val="24"/>
          <w:szCs w:val="24"/>
        </w:rPr>
        <w:t xml:space="preserve">Lance Davis has participated in industry research meetings with both the Kenyan and Rwandan Capital Markets Authorities and central banks (CBK and NBR), providing direct input on digital asset frameworks and tokenization infrastructure.</w:t>
      </w:r>
    </w:p>
    <w:p>
      <w:pPr>
        <w:spacing w:after="160" w:line="276"/>
      </w:pPr>
      <w:r>
        <w:rPr>
          <w:rFonts w:ascii="Arial" w:cs="Arial" w:eastAsia="Arial" w:hAnsi="Arial"/>
          <w:b/>
          <w:bCs/>
          <w:color w:val="555555"/>
          <w:sz w:val="24"/>
          <w:szCs w:val="24"/>
        </w:rPr>
        <w:t xml:space="preserve">Virtual Assets Legislation. </w:t>
      </w:r>
      <w:r>
        <w:rPr>
          <w:rFonts w:ascii="Arial" w:cs="Arial" w:eastAsia="Arial" w:hAnsi="Arial"/>
          <w:color w:val="555555"/>
          <w:sz w:val="24"/>
          <w:szCs w:val="24"/>
        </w:rPr>
        <w:t xml:space="preserve">Through the Virtual Assets Chamber of Commerce (VACC), Sereel’s legal counsel Allan Kakai has contributed to the development of Rwanda’s virtual assets legislation, which was approved by Cabinet in March 2026 for parliamentary consideration. The draft law designates the Capital Markets Authority of Rwanda as the regulatory authority for virtual asset service providers and establishes licensing, consumer protection, and AML/CFT frameworks.</w:t>
      </w:r>
    </w:p>
    <w:p>
      <w:pPr>
        <w:spacing w:after="160" w:line="276"/>
      </w:pPr>
      <w:r>
        <w:rPr>
          <w:rFonts w:ascii="Arial" w:cs="Arial" w:eastAsia="Arial" w:hAnsi="Arial"/>
          <w:b/>
          <w:bCs/>
          <w:color w:val="555555"/>
          <w:sz w:val="24"/>
          <w:szCs w:val="24"/>
        </w:rPr>
        <w:t xml:space="preserve">Blockchain Engineering Capacity Building. </w:t>
      </w:r>
      <w:r>
        <w:rPr>
          <w:rFonts w:ascii="Arial" w:cs="Arial" w:eastAsia="Arial" w:hAnsi="Arial"/>
          <w:color w:val="555555"/>
          <w:sz w:val="24"/>
          <w:szCs w:val="24"/>
        </w:rPr>
        <w:t xml:space="preserve">The Sereel team partnered with the Africa Blockchain Institute to deliver blockchain engineering training to 15+ engineers from BK TecHouse (a subsidiary of Bank of Kigali Group PLC), I&amp;M Bank, and other companies across Kigali. This investment in Rwanda’s technical talent pipeline demonstrates Sereel’s commitment to building local capacity, not just selling technology.</w:t>
      </w:r>
    </w:p>
    <w:p>
      <w:pPr>
        <w:pStyle w:val="Heading2"/>
        <w:spacing w:before="280" w:after="160"/>
      </w:pPr>
      <w:r>
        <w:rPr>
          <w:rFonts w:ascii="Arial" w:cs="Arial" w:eastAsia="Arial" w:hAnsi="Arial"/>
          <w:b/>
          <w:bCs/>
          <w:color w:val="1B9E5C"/>
          <w:sz w:val="26"/>
          <w:szCs w:val="26"/>
        </w:rPr>
        <w:t xml:space="preserve">Eric Niyongira — Rwanda Market Reference, Rwanda Bankers’ Association</w:t>
      </w:r>
    </w:p>
    <w:p>
      <w:pPr>
        <w:spacing w:after="160" w:line="276"/>
      </w:pPr>
      <w:r>
        <w:rPr>
          <w:rFonts w:ascii="Arial" w:cs="Arial" w:eastAsia="Arial" w:hAnsi="Arial"/>
          <w:color w:val="555555"/>
          <w:sz w:val="24"/>
          <w:szCs w:val="24"/>
        </w:rPr>
        <w:t xml:space="preserve">Eric Niyongira is the Research &amp; Partnerships Officer at the Rwanda Bankers’ Association (RBA), the advocacy body representing Rwanda’s banking sector. He holds a Master’s degree in Executive Masters in Financial Services Industry from the Luxembourg School of Business, with prior experience at Three Stones International and Empower Rwanda. Eric is a lead author of the RBA Research Centre’s 2025 paper “Digital Money, Real Impact: Lessons from Global CBDC Pioneers for Rwanda’s Next Leap,” which investigates the macroeconomic effects of CBDC implementations in the Bahamas, Jamaica, and Nigeria to inform Rwanda’s own digital franc journey. He is a regular analyst on CNBC Africa covering Rwandan monetary policy and banking sector developments.</w:t>
      </w:r>
    </w:p>
    <w:p>
      <w:pPr>
        <w:spacing w:after="160" w:line="276"/>
      </w:pPr>
      <w:r>
        <w:rPr>
          <w:rFonts w:ascii="Arial" w:cs="Arial" w:eastAsia="Arial" w:hAnsi="Arial"/>
          <w:color w:val="555555"/>
          <w:sz w:val="24"/>
          <w:szCs w:val="24"/>
        </w:rPr>
        <w:t xml:space="preserve">Eric has conducted blockchain and digital currency research in direct consultation with Sereel CEO Lance Davis, who is credited as a contributor to the RBA’s published CBDC research alongside Allan Kakai. This collaboration is documented in the publicly available paper at rba.rw, making Sereel one of the only tokenization technology providers with a direct, cited contribution to Rwanda’s official banking sector research on digital currencies.</w:t>
      </w:r>
    </w:p>
    <w:p>
      <w:pPr>
        <w:pStyle w:val="Heading1"/>
        <w:spacing w:before="360" w:after="200"/>
      </w:pPr>
      <w:r>
        <w:rPr>
          <w:rFonts w:ascii="Arial" w:cs="Arial" w:eastAsia="Arial" w:hAnsi="Arial"/>
          <w:b/>
          <w:bCs/>
          <w:color w:val="1A1A2E"/>
          <w:sz w:val="32"/>
          <w:szCs w:val="32"/>
        </w:rPr>
        <w:t xml:space="preserve">7. Competitive Positioning</w:t>
      </w:r>
    </w:p>
    <w:p>
      <w:pPr>
        <w:pBdr>
          <w:bottom w:val="single" w:color="1B9E5C" w:sz="6" w:space="1"/>
        </w:pBdr>
        <w:spacing w:before="100" w:after="200"/>
      </w:pPr>
    </w:p>
    <w:p>
      <w:pPr>
        <w:pStyle w:val="Heading2"/>
        <w:spacing w:before="280" w:after="160"/>
      </w:pPr>
      <w:r>
        <w:rPr>
          <w:rFonts w:ascii="Arial" w:cs="Arial" w:eastAsia="Arial" w:hAnsi="Arial"/>
          <w:b/>
          <w:bCs/>
          <w:color w:val="1B9E5C"/>
          <w:sz w:val="26"/>
          <w:szCs w:val="26"/>
        </w:rPr>
        <w:t xml:space="preserve">Why Sereel Over International Alternatives</w:t>
      </w:r>
    </w:p>
    <w:p>
      <w:pPr>
        <w:spacing w:after="160" w:line="276"/>
      </w:pPr>
      <w:r>
        <w:rPr>
          <w:rFonts w:ascii="Arial" w:cs="Arial" w:eastAsia="Arial" w:hAnsi="Arial"/>
          <w:color w:val="555555"/>
          <w:sz w:val="24"/>
          <w:szCs w:val="24"/>
        </w:rPr>
        <w:t xml:space="preserve">Many firms are entering the tokenization space, including Swiss and Singaporean family offices. Sereel’s advantages over these competitors are structural, not incidental:</w:t>
      </w:r>
    </w:p>
    <w:p>
      <w:pPr>
        <w:spacing w:after="160" w:line="276"/>
      </w:pPr>
      <w:r>
        <w:rPr>
          <w:rFonts w:ascii="Arial" w:cs="Arial" w:eastAsia="Arial" w:hAnsi="Arial"/>
          <w:b/>
          <w:bCs/>
          <w:color w:val="555555"/>
          <w:sz w:val="24"/>
          <w:szCs w:val="24"/>
        </w:rPr>
        <w:t xml:space="preserve">Boots on the ground. </w:t>
      </w:r>
      <w:r>
        <w:rPr>
          <w:rFonts w:ascii="Arial" w:cs="Arial" w:eastAsia="Arial" w:hAnsi="Arial"/>
          <w:color w:val="555555"/>
          <w:sz w:val="24"/>
          <w:szCs w:val="24"/>
        </w:rPr>
        <w:t xml:space="preserve">Sereel operates from Nairobi with established legal, engineering, and business development presence across East Africa. We are not flying in for conferences and flying out. Our team lives and works in the region, with deep understanding of local regulatory trajectories, banking relationships, and market dynamics.</w:t>
      </w:r>
    </w:p>
    <w:p>
      <w:pPr>
        <w:spacing w:after="160" w:line="276"/>
      </w:pPr>
      <w:r>
        <w:rPr>
          <w:rFonts w:ascii="Arial" w:cs="Arial" w:eastAsia="Arial" w:hAnsi="Arial"/>
          <w:b/>
          <w:bCs/>
          <w:color w:val="555555"/>
          <w:sz w:val="24"/>
          <w:szCs w:val="24"/>
        </w:rPr>
        <w:t xml:space="preserve">Canton Network validator status. </w:t>
      </w:r>
      <w:r>
        <w:rPr>
          <w:rFonts w:ascii="Arial" w:cs="Arial" w:eastAsia="Arial" w:hAnsi="Arial"/>
          <w:color w:val="555555"/>
          <w:sz w:val="24"/>
          <w:szCs w:val="24"/>
        </w:rPr>
        <w:t xml:space="preserve">Sereel is a validator on the Canton Network, the institutional DLT backed by Digital Asset, with participants including Goldman Sachs, BNY Mellon, and Broadridge. Securitize, Taurus, Tokeny, Obligate, and Polymath do not hold this position. This gives Sereel, and its partners, direct participation in the governance and settlement layer of institutional DLT infrastructure.</w:t>
      </w:r>
    </w:p>
    <w:p>
      <w:pPr>
        <w:spacing w:after="160" w:line="276"/>
      </w:pPr>
      <w:r>
        <w:rPr>
          <w:rFonts w:ascii="Arial" w:cs="Arial" w:eastAsia="Arial" w:hAnsi="Arial"/>
          <w:b/>
          <w:bCs/>
          <w:color w:val="555555"/>
          <w:sz w:val="24"/>
          <w:szCs w:val="24"/>
        </w:rPr>
        <w:t xml:space="preserve">Native multi-chain custody. </w:t>
      </w:r>
      <w:r>
        <w:rPr>
          <w:rFonts w:ascii="Arial" w:cs="Arial" w:eastAsia="Arial" w:hAnsi="Arial"/>
          <w:color w:val="555555"/>
          <w:sz w:val="24"/>
          <w:szCs w:val="24"/>
        </w:rPr>
        <w:t xml:space="preserve">Sereel provides custody infrastructure across multiple chains including Bitcoin and Ethereum, with HSM and MPC key management. Most competitors offer custody on a single chain or rely on third-party custodians.</w:t>
      </w:r>
    </w:p>
    <w:p>
      <w:pPr>
        <w:spacing w:after="160" w:line="276"/>
      </w:pPr>
      <w:r>
        <w:rPr>
          <w:rFonts w:ascii="Arial" w:cs="Arial" w:eastAsia="Arial" w:hAnsi="Arial"/>
          <w:b/>
          <w:bCs/>
          <w:color w:val="555555"/>
          <w:sz w:val="24"/>
          <w:szCs w:val="24"/>
        </w:rPr>
        <w:t xml:space="preserve">Combined blockchain and banking expertise. </w:t>
      </w:r>
      <w:r>
        <w:rPr>
          <w:rFonts w:ascii="Arial" w:cs="Arial" w:eastAsia="Arial" w:hAnsi="Arial"/>
          <w:color w:val="555555"/>
          <w:sz w:val="24"/>
          <w:szCs w:val="24"/>
        </w:rPr>
        <w:t xml:space="preserve">15+ years of blockchain engineering between co-founders and lead engineer, combined with 35+ years of global investment banking advisory through Paul Reynolds (Rothschild, Cazenove, Inchcape, RENEW Capital). This is not a team of technologists without financial markets experience, nor bankers without technical depth.</w:t>
      </w:r>
    </w:p>
    <w:p>
      <w:pPr>
        <w:spacing w:after="160" w:line="276"/>
      </w:pPr>
      <w:r>
        <w:rPr>
          <w:rFonts w:ascii="Arial" w:cs="Arial" w:eastAsia="Arial" w:hAnsi="Arial"/>
          <w:b/>
          <w:bCs/>
          <w:color w:val="555555"/>
          <w:sz w:val="24"/>
          <w:szCs w:val="24"/>
        </w:rPr>
        <w:t xml:space="preserve">Regulatory embeddedness. </w:t>
      </w:r>
      <w:r>
        <w:rPr>
          <w:rFonts w:ascii="Arial" w:cs="Arial" w:eastAsia="Arial" w:hAnsi="Arial"/>
          <w:color w:val="555555"/>
          <w:sz w:val="24"/>
          <w:szCs w:val="24"/>
        </w:rPr>
        <w:t xml:space="preserve">No competing tokenization provider has Sereel’s level of direct engagement with East African regulators. Our CEO contributes to RBA research, our legal counsel helped draft Kenya’s VASP Bill and contributed to Rwanda’s virtual assets legislation, and we have participated in consultations with both the Kenyan and Rwandan CMA and central banks.</w:t>
      </w:r>
    </w:p>
    <w:p>
      <w:pPr>
        <w:spacing w:after="160" w:line="276"/>
      </w:pPr>
      <w:r>
        <w:rPr>
          <w:rFonts w:ascii="Arial" w:cs="Arial" w:eastAsia="Arial" w:hAnsi="Arial"/>
          <w:b/>
          <w:bCs/>
          <w:color w:val="555555"/>
          <w:sz w:val="24"/>
          <w:szCs w:val="24"/>
        </w:rPr>
        <w:t xml:space="preserve">Proven client validation. </w:t>
      </w:r>
      <w:r>
        <w:rPr>
          <w:rFonts w:ascii="Arial" w:cs="Arial" w:eastAsia="Arial" w:hAnsi="Arial"/>
          <w:color w:val="555555"/>
          <w:sz w:val="24"/>
          <w:szCs w:val="24"/>
        </w:rPr>
        <w:t xml:space="preserve">A Swiss institutional platform founder with deep European fintech connections chose Sereel over local alternatives. This is the strongest possible signal of platform quality.</w:t>
      </w:r>
    </w:p>
    <w:p>
      <w:pPr>
        <w:pStyle w:val="Heading1"/>
        <w:spacing w:before="360" w:after="200"/>
      </w:pPr>
      <w:r>
        <w:rPr>
          <w:rFonts w:ascii="Arial" w:cs="Arial" w:eastAsia="Arial" w:hAnsi="Arial"/>
          <w:b/>
          <w:bCs/>
          <w:color w:val="1A1A2E"/>
          <w:sz w:val="32"/>
          <w:szCs w:val="32"/>
        </w:rPr>
        <w:t xml:space="preserve">Appendix A: Entity Structure</w:t>
      </w:r>
    </w:p>
    <w:p>
      <w:pPr>
        <w:pBdr>
          <w:bottom w:val="single" w:color="1B9E5C" w:sz="6" w:space="1"/>
        </w:pBdr>
        <w:spacing w:before="10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3200"/>
        <w:gridCol w:w="2960"/>
      </w:tblGrid>
      <w:tr>
        <w:tc>
          <w:tcPr>
            <w:tcW w:type="dxa" w:w="3200"/>
            <w:tcBorders>
              <w:top w:val="single" w:color="CCCCCC" w:sz="1"/>
              <w:left w:val="single" w:color="CCCCCC" w:sz="1"/>
              <w:bottom w:val="single" w:color="CCCCCC" w:sz="1"/>
              <w:right w:val="single" w:color="CCCCCC" w:sz="1"/>
            </w:tcBorders>
            <w:shd w:fill="1B9E5C" w:val="clear"/>
            <w:tcMar>
              <w:top w:type="dxa" w:w="80"/>
              <w:left w:type="dxa" w:w="120"/>
              <w:bottom w:type="dxa" w:w="80"/>
              <w:right w:type="dxa" w:w="120"/>
            </w:tcMar>
          </w:tcPr>
          <w:p>
            <w:r>
              <w:rPr>
                <w:rFonts w:ascii="Arial" w:cs="Arial" w:eastAsia="Arial" w:hAnsi="Arial"/>
                <w:b/>
                <w:bCs/>
                <w:color w:val="FFFFFF"/>
                <w:sz w:val="22"/>
                <w:szCs w:val="22"/>
              </w:rPr>
              <w:t xml:space="preserve">Entity</w:t>
            </w:r>
          </w:p>
        </w:tc>
        <w:tc>
          <w:tcPr>
            <w:tcW w:type="dxa" w:w="3200"/>
            <w:tcBorders>
              <w:top w:val="single" w:color="CCCCCC" w:sz="1"/>
              <w:left w:val="single" w:color="CCCCCC" w:sz="1"/>
              <w:bottom w:val="single" w:color="CCCCCC" w:sz="1"/>
              <w:right w:val="single" w:color="CCCCCC" w:sz="1"/>
            </w:tcBorders>
            <w:shd w:fill="1B9E5C" w:val="clear"/>
            <w:tcMar>
              <w:top w:type="dxa" w:w="80"/>
              <w:left w:type="dxa" w:w="120"/>
              <w:bottom w:type="dxa" w:w="80"/>
              <w:right w:type="dxa" w:w="120"/>
            </w:tcMar>
          </w:tcPr>
          <w:p>
            <w:r>
              <w:rPr>
                <w:rFonts w:ascii="Arial" w:cs="Arial" w:eastAsia="Arial" w:hAnsi="Arial"/>
                <w:b/>
                <w:bCs/>
                <w:color w:val="FFFFFF"/>
                <w:sz w:val="22"/>
                <w:szCs w:val="22"/>
              </w:rPr>
              <w:t xml:space="preserve">Jurisdiction</w:t>
            </w:r>
          </w:p>
        </w:tc>
        <w:tc>
          <w:tcPr>
            <w:tcW w:type="dxa" w:w="2960"/>
            <w:tcBorders>
              <w:top w:val="single" w:color="CCCCCC" w:sz="1"/>
              <w:left w:val="single" w:color="CCCCCC" w:sz="1"/>
              <w:bottom w:val="single" w:color="CCCCCC" w:sz="1"/>
              <w:right w:val="single" w:color="CCCCCC" w:sz="1"/>
            </w:tcBorders>
            <w:shd w:fill="1B9E5C" w:val="clear"/>
            <w:tcMar>
              <w:top w:type="dxa" w:w="80"/>
              <w:left w:type="dxa" w:w="120"/>
              <w:bottom w:type="dxa" w:w="80"/>
              <w:right w:type="dxa" w:w="120"/>
            </w:tcMar>
          </w:tcPr>
          <w:p>
            <w:r>
              <w:rPr>
                <w:rFonts w:ascii="Arial" w:cs="Arial" w:eastAsia="Arial" w:hAnsi="Arial"/>
                <w:b/>
                <w:bCs/>
                <w:color w:val="FFFFFF"/>
                <w:sz w:val="22"/>
                <w:szCs w:val="22"/>
              </w:rPr>
              <w:t xml:space="preserve">Role</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555555"/>
                <w:sz w:val="22"/>
                <w:szCs w:val="22"/>
              </w:rPr>
              <w:t xml:space="preserve">Sereel Technologies Inc.</w:t>
            </w:r>
          </w:p>
        </w:tc>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555555"/>
                <w:sz w:val="22"/>
                <w:szCs w:val="22"/>
              </w:rPr>
              <w:t xml:space="preserve">Delaware, USA</w:t>
            </w:r>
          </w:p>
        </w:tc>
        <w:tc>
          <w:tcPr>
            <w:tcW w:type="dxa" w:w="2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555555"/>
                <w:sz w:val="22"/>
                <w:szCs w:val="22"/>
              </w:rPr>
              <w:t xml:space="preserve">Technology development</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555555"/>
                <w:sz w:val="22"/>
                <w:szCs w:val="22"/>
              </w:rPr>
              <w:t xml:space="preserve">Sereel Digital Ltd.</w:t>
            </w:r>
          </w:p>
        </w:tc>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555555"/>
                <w:sz w:val="22"/>
                <w:szCs w:val="22"/>
              </w:rPr>
              <w:t xml:space="preserve">Kenya</w:t>
            </w:r>
          </w:p>
        </w:tc>
        <w:tc>
          <w:tcPr>
            <w:tcW w:type="dxa" w:w="2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555555"/>
                <w:sz w:val="22"/>
                <w:szCs w:val="22"/>
              </w:rPr>
              <w:t xml:space="preserve">East African operations, BD, compliance</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555555"/>
                <w:sz w:val="22"/>
                <w:szCs w:val="22"/>
              </w:rPr>
              <w:t xml:space="preserve">Sereel Technologies Botswana LLC</w:t>
            </w:r>
          </w:p>
        </w:tc>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555555"/>
                <w:sz w:val="22"/>
                <w:szCs w:val="22"/>
              </w:rPr>
              <w:t xml:space="preserve">Botswana</w:t>
            </w:r>
          </w:p>
        </w:tc>
        <w:tc>
          <w:tcPr>
            <w:tcW w:type="dxa" w:w="2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555555"/>
                <w:sz w:val="22"/>
                <w:szCs w:val="22"/>
              </w:rPr>
              <w:t xml:space="preserve">Southern African operations, VASP licensing</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555555"/>
                <w:sz w:val="22"/>
                <w:szCs w:val="22"/>
              </w:rPr>
              <w:t xml:space="preserve">Sereel Technologies Rwanda (Pending)</w:t>
            </w:r>
          </w:p>
        </w:tc>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555555"/>
                <w:sz w:val="22"/>
                <w:szCs w:val="22"/>
              </w:rPr>
              <w:t xml:space="preserve">Rwanda</w:t>
            </w:r>
          </w:p>
        </w:tc>
        <w:tc>
          <w:tcPr>
            <w:tcW w:type="dxa" w:w="2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555555"/>
                <w:sz w:val="22"/>
                <w:szCs w:val="22"/>
              </w:rPr>
              <w:t xml:space="preserve">Rwandan operations</w:t>
            </w:r>
          </w:p>
        </w:tc>
      </w:tr>
    </w:tbl>
    <w:p>
      <w:pPr>
        <w:spacing w:after="80"/>
      </w:pPr>
    </w:p>
    <w:p>
      <w:pPr>
        <w:pStyle w:val="Heading1"/>
        <w:spacing w:before="360" w:after="200"/>
      </w:pPr>
      <w:r>
        <w:rPr>
          <w:rFonts w:ascii="Arial" w:cs="Arial" w:eastAsia="Arial" w:hAnsi="Arial"/>
          <w:b/>
          <w:bCs/>
          <w:color w:val="1A1A2E"/>
          <w:sz w:val="32"/>
          <w:szCs w:val="32"/>
        </w:rPr>
        <w:t xml:space="preserve">Appendix B: Key References</w:t>
      </w:r>
    </w:p>
    <w:p>
      <w:pPr>
        <w:pBdr>
          <w:bottom w:val="single" w:color="1B9E5C" w:sz="6" w:space="1"/>
        </w:pBdr>
        <w:spacing w:before="100" w:after="200"/>
      </w:pPr>
    </w:p>
    <w:p>
      <w:pPr>
        <w:pStyle w:val="ListParagraph"/>
        <w:numPr>
          <w:ilvl w:val="0"/>
          <w:numId w:val="2"/>
        </w:numPr>
        <w:spacing w:after="80" w:line="276"/>
      </w:pPr>
      <w:r>
        <w:rPr>
          <w:rFonts w:ascii="Arial" w:cs="Arial" w:eastAsia="Arial" w:hAnsi="Arial"/>
          <w:color w:val="555555"/>
          <w:sz w:val="24"/>
          <w:szCs w:val="24"/>
        </w:rPr>
        <w:t xml:space="preserve">Rwanda Bankers’ Association. “Digital Money, Real Impact: Lessons from Global CBDC Pioneers for Rwanda’s Next Leap.” 2025. Contributors: Lance Davis, Allan Kakai. Available at rba.rw.</w:t>
      </w:r>
    </w:p>
    <w:p>
      <w:pPr>
        <w:pStyle w:val="ListParagraph"/>
        <w:numPr>
          <w:ilvl w:val="0"/>
          <w:numId w:val="2"/>
        </w:numPr>
        <w:spacing w:after="80" w:line="276"/>
      </w:pPr>
      <w:r>
        <w:rPr>
          <w:rFonts w:ascii="Arial" w:cs="Arial" w:eastAsia="Arial" w:hAnsi="Arial"/>
          <w:color w:val="555555"/>
          <w:sz w:val="24"/>
          <w:szCs w:val="24"/>
        </w:rPr>
        <w:t xml:space="preserve">Capital Market Technology Association (CMTA). Sereel Technologies certified as CMTA Technology Provider, December 2025.</w:t>
      </w:r>
    </w:p>
    <w:p>
      <w:pPr>
        <w:pStyle w:val="ListParagraph"/>
        <w:numPr>
          <w:ilvl w:val="0"/>
          <w:numId w:val="2"/>
        </w:numPr>
        <w:spacing w:after="80" w:line="276"/>
      </w:pPr>
      <w:r>
        <w:rPr>
          <w:rFonts w:ascii="Arial" w:cs="Arial" w:eastAsia="Arial" w:hAnsi="Arial"/>
          <w:color w:val="555555"/>
          <w:sz w:val="24"/>
          <w:szCs w:val="24"/>
        </w:rPr>
        <w:t xml:space="preserve">Canton Network. Sereel Technologies accepted as network validator.</w:t>
      </w:r>
    </w:p>
    <w:p>
      <w:pPr>
        <w:pStyle w:val="ListParagraph"/>
        <w:numPr>
          <w:ilvl w:val="0"/>
          <w:numId w:val="2"/>
        </w:numPr>
        <w:spacing w:after="80" w:line="276"/>
      </w:pPr>
      <w:r>
        <w:rPr>
          <w:rFonts w:ascii="Arial" w:cs="Arial" w:eastAsia="Arial" w:hAnsi="Arial"/>
          <w:color w:val="555555"/>
          <w:sz w:val="24"/>
          <w:szCs w:val="24"/>
        </w:rPr>
        <w:t xml:space="preserve">Virtual Assets Chamber of Commerce (VACC). Industry thought leader references to Sereel Technologies in regulatory forums.</w:t>
      </w:r>
    </w:p>
    <w:p>
      <w:pPr>
        <w:pStyle w:val="ListParagraph"/>
        <w:numPr>
          <w:ilvl w:val="0"/>
          <w:numId w:val="2"/>
        </w:numPr>
        <w:spacing w:after="80" w:line="276"/>
      </w:pPr>
      <w:r>
        <w:rPr>
          <w:rFonts w:ascii="Arial" w:cs="Arial" w:eastAsia="Arial" w:hAnsi="Arial"/>
          <w:color w:val="555555"/>
          <w:sz w:val="24"/>
          <w:szCs w:val="24"/>
        </w:rPr>
        <w:t xml:space="preserve">National Bank of Rwanda. Sereel participated in the retail CBDC Ideathon during the proof-of-concept phase, 2025.</w:t>
      </w:r>
    </w:p>
    <w:p>
      <w:pPr>
        <w:spacing w:after="80"/>
      </w:pPr>
    </w:p>
    <w:p>
      <w:pPr>
        <w:jc w:val="center"/>
      </w:pPr>
      <w:r>
        <w:rPr>
          <w:rFonts w:ascii="Arial" w:cs="Arial" w:eastAsia="Arial" w:hAnsi="Arial"/>
          <w:i/>
          <w:iCs/>
          <w:color w:val="555555"/>
          <w:sz w:val="22"/>
          <w:szCs w:val="22"/>
        </w:rPr>
        <w:t xml:space="preserve">Sereel Technologies Inc. | sereel.com</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1" w:space="4"/>
      </w:pBdr>
      <w:tabs>
        <w:tab w:val="right" w:pos="9360"/>
      </w:tabs>
    </w:pPr>
    <w:r>
      <w:rPr>
        <w:rFonts w:ascii="Arial" w:cs="Arial" w:eastAsia="Arial" w:hAnsi="Arial"/>
        <w:i/>
        <w:iCs/>
        <w:color w:val="555555"/>
        <w:sz w:val="18"/>
        <w:szCs w:val="18"/>
      </w:rPr>
      <w:t xml:space="preserve">Sereel Technologies</w:t>
    </w:r>
    <w:r>
      <w:t xml:space="preserve">	</w:t>
    </w:r>
    <w:r>
      <w:rPr>
        <w:rFonts w:ascii="Arial" w:cs="Arial" w:eastAsia="Arial" w:hAnsi="Arial"/>
        <w:color w:val="1B9E5C"/>
        <w:sz w:val="18"/>
        <w:szCs w:val="18"/>
      </w:rPr>
      <w:t xml:space="preserve">sereel.com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1B9E5C"/>
        <w:sz w:val="20"/>
        <w:szCs w:val="20"/>
      </w:rPr>
      <w:t xml:space="preserve">Sereel Technologies</w:t>
    </w:r>
    <w:r>
      <w:rPr>
        <w:rFonts w:ascii="Arial" w:cs="Arial" w:eastAsia="Arial" w:hAnsi="Arial"/>
        <w:i/>
        <w:iCs/>
        <w:color w:val="555555"/>
        <w:sz w:val="20"/>
        <w:szCs w:val="20"/>
      </w:rPr>
      <w:t xml:space="preserve">  |  Corporate Operational Resume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A1A2E"/>
      <w:sz w:val="36"/>
      <w:szCs w:val="36"/>
    </w:rPr>
  </w:style>
  <w:style w:type="paragraph" w:styleId="Heading2">
    <w:name w:val="Heading 2"/>
    <w:basedOn w:val="Normal"/>
    <w:next w:val="Normal"/>
    <w:qFormat/>
    <w:pPr>
      <w:spacing w:before="280" w:after="160"/>
      <w:outlineLvl w:val="1"/>
    </w:pPr>
    <w:rPr>
      <w:rFonts w:ascii="Arial" w:cs="Arial" w:eastAsia="Arial" w:hAnsi="Arial"/>
      <w:b/>
      <w:bCs/>
      <w:color w:val="1B9E5C"/>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0655a4e7056635b42a9f1617383be2f062d7300e.jpg"/><Relationship Id="rId9"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2026-03-26T14:41:02.076Z</dcterms:created>
  <dcterms:modified xsi:type="dcterms:W3CDTF">2026-03-26T14:41:02.077Z</dcterms:modified>
</cp:coreProperties>
</file>

<file path=docProps/custom.xml><?xml version="1.0" encoding="utf-8"?>
<Properties xmlns="http://schemas.openxmlformats.org/officeDocument/2006/custom-properties" xmlns:vt="http://schemas.openxmlformats.org/officeDocument/2006/docPropsVTypes"/>
</file>